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510145</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 xml:space="preserve"> </w:t>
      </w:r>
      <w:r>
        <w:rPr>
          <w:rFonts w:hint="default" w:ascii="Times New Roman" w:hAnsi="Times New Roman" w:cs="Times New Roman"/>
          <w:b/>
          <w:bCs/>
          <w:sz w:val="24"/>
          <w:highlight w:val="none"/>
        </w:rPr>
        <w:t>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event triggered L1 measurement reporting</w:t>
      </w:r>
      <w:r>
        <w:rPr>
          <w:rFonts w:hint="eastAsia" w:ascii="Times New Roman" w:hAnsi="Times New Roman"/>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58C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32275E5">
            <w:pPr>
              <w:pStyle w:val="5"/>
              <w:numPr>
                <w:ilvl w:val="0"/>
                <w:numId w:val="0"/>
              </w:numPr>
              <w:tabs>
                <w:tab w:val="left" w:pos="432"/>
                <w:tab w:val="clear" w:pos="864"/>
              </w:tabs>
              <w:rPr>
                <w:rFonts w:hint="default" w:ascii="Times New Roman" w:hAnsi="Times New Roman" w:cs="Times New Roman"/>
                <w:b/>
                <w:bCs/>
                <w:color w:val="auto"/>
                <w:sz w:val="20"/>
                <w:szCs w:val="20"/>
                <w:highlight w:val="none"/>
                <w:lang w:val="en-US"/>
              </w:rPr>
            </w:pPr>
            <w:r>
              <w:rPr>
                <w:rFonts w:hint="default" w:ascii="Times New Roman" w:hAnsi="Times New Roman" w:cs="Times New Roman"/>
                <w:b/>
                <w:bCs/>
                <w:color w:val="auto"/>
                <w:sz w:val="20"/>
                <w:szCs w:val="20"/>
                <w:highlight w:val="none"/>
                <w:lang w:val="en-US"/>
              </w:rPr>
              <w:t>Issue 2-1: applicability of L1-RSRP reporting delay</w:t>
            </w:r>
          </w:p>
          <w:p w14:paraId="351BF284">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Candidate options:</w:t>
            </w:r>
          </w:p>
          <w:p w14:paraId="6AF0938F">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1: RAN4 considers following conditions in the test for L1-RSRP reporting delay requirements: (vivo, Xiaomi)</w:t>
            </w:r>
          </w:p>
          <w:p w14:paraId="2A59B95B">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No indicate TCI change during the evaluation period.</w:t>
            </w:r>
          </w:p>
          <w:p w14:paraId="4F289AD2">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No configuration change w.r.t measurement RS during the evaluation period</w:t>
            </w:r>
          </w:p>
          <w:p w14:paraId="2E990159">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After the condition that would trigger the event takes effect, the condition is assumed to be fixed during the whole L1 measurement period</w:t>
            </w:r>
          </w:p>
          <w:p w14:paraId="76E6996F">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 xml:space="preserve">Option 2: </w:t>
            </w:r>
            <w:r>
              <w:rPr>
                <w:rFonts w:hint="default" w:ascii="Times New Roman" w:hAnsi="Times New Roman" w:cs="Times New Roman"/>
                <w:color w:val="000000" w:themeColor="text1"/>
                <w:sz w:val="20"/>
                <w:szCs w:val="20"/>
                <w:highlight w:val="none"/>
                <w14:textFill>
                  <w14:solidFill>
                    <w14:schemeClr w14:val="tx1"/>
                  </w14:solidFill>
                </w14:textFill>
              </w:rPr>
              <w:t>Seems no need to capture assumptions listed under option-1 into core requirements.</w:t>
            </w:r>
            <w:r>
              <w:rPr>
                <w:rFonts w:hint="default" w:ascii="Times New Roman" w:hAnsi="Times New Roman" w:cs="Times New Roman"/>
                <w:bCs/>
                <w:color w:val="000000" w:themeColor="text1"/>
                <w:sz w:val="20"/>
                <w:szCs w:val="20"/>
                <w:highlight w:val="none"/>
                <w14:textFill>
                  <w14:solidFill>
                    <w14:schemeClr w14:val="tx1"/>
                  </w14:solidFill>
                </w14:textFill>
              </w:rPr>
              <w:t xml:space="preserve"> (Apple)</w:t>
            </w:r>
          </w:p>
          <w:p w14:paraId="0B6FA54E">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bCs/>
                <w:color w:val="000000" w:themeColor="text1"/>
                <w:sz w:val="20"/>
                <w:szCs w:val="20"/>
                <w:highlight w:val="none"/>
                <w14:textFill>
                  <w14:solidFill>
                    <w14:schemeClr w14:val="tx1"/>
                  </w14:solidFill>
                </w14:textFill>
              </w:rPr>
              <w:t xml:space="preserve">Option 2a: </w:t>
            </w:r>
            <w:r>
              <w:rPr>
                <w:rFonts w:hint="default" w:ascii="Times New Roman" w:hAnsi="Times New Roman" w:cs="Times New Roman"/>
                <w:bCs/>
                <w:color w:val="000000" w:themeColor="text1"/>
                <w:sz w:val="20"/>
                <w:szCs w:val="20"/>
                <w:highlight w:val="none"/>
                <w:lang w:val="en-GB"/>
                <w14:textFill>
                  <w14:solidFill>
                    <w14:schemeClr w14:val="tx1"/>
                  </w14:solidFill>
                </w14:textFill>
              </w:rPr>
              <w:t>The proposed L1-RSRP reporting assumptions are not captured in core requirements. During performance phase, RAN4 can consider to ensure serving beam kept unchanged (e.g., no indicate TCI change, and no configuration change) for L1 event trigger reporting test cases. (HW)</w:t>
            </w:r>
          </w:p>
        </w:tc>
      </w:tr>
    </w:tbl>
    <w:p w14:paraId="276109B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7E27B1D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Firstly, from the perspective of core requirements, we do not think the conditions listed in option 1, e.g. no TCI state change, no configuration change, etc, need to be captured in the applicability of core requirements, since it results in limitation on network implementation. As for whether these conditions are needed in the test, we are open for discussion. According t RAN2 agreements that TTT is evaluated per beam, and measurement report is only triggered by beam that has satisfied the condition (entering/leaving) for the whole duration of TTT. And TTT timer is not restarted if the current beam changes and the entering condition is still met with the new current beam. Following RAN2 agreements, for example, if there is TCI state change during the evaluation period, UE need to perform mesurement on the new current beam, and TTT timer is not restarted if the entering condition is still met with the new current beam. We do not see the technical issue to have such limitation in the test. </w:t>
      </w:r>
    </w:p>
    <w:p w14:paraId="3721D37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applicability of L1-RSRP reporting delay, it is proposed not to capture the assumptions (e.g. no indicate TCI change, no configuration change, etc) in the core requirements. As for whether to capture these assumptions in the tests, it can be further discuss.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C33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D6CD621">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b/>
                <w:bCs/>
                <w:sz w:val="20"/>
                <w:szCs w:val="20"/>
                <w:highlight w:val="none"/>
                <w:lang w:val="en-US"/>
              </w:rPr>
              <w:t>Issue 2-3: whether to introduce/update requirements for reporting criteria per measurement category</w:t>
            </w:r>
          </w:p>
          <w:p w14:paraId="535FA7B9">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Candidate options:</w:t>
            </w:r>
          </w:p>
          <w:p w14:paraId="17B24817">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1: Define a separate capability for supported number of events triggered L1 measurement reporting. (CTC, Nokia, Xiaomi, CATT, vivo, MTK, ZTE, CMCC, E///)</w:t>
            </w:r>
          </w:p>
          <w:p w14:paraId="47628E1B">
            <w:pPr>
              <w:pStyle w:val="14"/>
              <w:numPr>
                <w:ilvl w:val="1"/>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GB"/>
                <w14:textFill>
                  <w14:solidFill>
                    <w14:schemeClr w14:val="tx1"/>
                  </w14:solidFill>
                </w14:textFill>
              </w:rPr>
              <w:t xml:space="preserve">Details: </w:t>
            </w:r>
          </w:p>
          <w:p w14:paraId="5E0786B5">
            <w:pPr>
              <w:pStyle w:val="14"/>
              <w:numPr>
                <w:ilvl w:val="2"/>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GB"/>
                <w14:textFill>
                  <w14:solidFill>
                    <w14:schemeClr w14:val="tx1"/>
                  </w14:solidFill>
                </w14:textFill>
              </w:rPr>
              <w:t>Option 1a:(vivo)</w:t>
            </w:r>
          </w:p>
          <w:p w14:paraId="60748CA8">
            <w:pPr>
              <w:pStyle w:val="14"/>
              <w:numPr>
                <w:ilvl w:val="3"/>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lang w:val="en-GB"/>
                <w14:textFill>
                  <w14:solidFill>
                    <w14:schemeClr w14:val="tx1"/>
                  </w14:solidFill>
                </w14:textFill>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21FCDB68">
            <w:pPr>
              <w:pStyle w:val="14"/>
              <w:numPr>
                <w:ilvl w:val="3"/>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GB"/>
                <w14:textFill>
                  <w14:solidFill>
                    <w14:schemeClr w14:val="tx1"/>
                  </w14:solidFill>
                </w14:textFill>
              </w:rPr>
              <w:t>Reporting criteria for LTM event triggered reporting is 4 per frequency layer.</w:t>
            </w:r>
          </w:p>
          <w:p w14:paraId="65BEE04F">
            <w:pPr>
              <w:pStyle w:val="14"/>
              <w:numPr>
                <w:ilvl w:val="3"/>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GB"/>
                <w14:textFill>
                  <w14:solidFill>
                    <w14:schemeClr w14:val="tx1"/>
                  </w14:solidFill>
                </w14:textFill>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4ED8309">
            <w:pPr>
              <w:pStyle w:val="14"/>
              <w:numPr>
                <w:ilvl w:val="2"/>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GB"/>
                <w14:textFill>
                  <w14:solidFill>
                    <w14:schemeClr w14:val="tx1"/>
                  </w14:solidFill>
                </w14:textFill>
              </w:rPr>
              <w:t>Option 1b: E///</w:t>
            </w:r>
          </w:p>
          <w:p w14:paraId="291DB157">
            <w:pPr>
              <w:pStyle w:val="14"/>
              <w:numPr>
                <w:ilvl w:val="3"/>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RAN4 to support a common LTM Ecat capability to be shared between intra- and inter-frequency candidate cells.</w:t>
            </w:r>
          </w:p>
          <w:p w14:paraId="45498434">
            <w:pPr>
              <w:pStyle w:val="14"/>
              <w:numPr>
                <w:ilvl w:val="3"/>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RAN4 to agree that Ecat capability for LTM L1 measurements includes both PCell event, and candidate cells’ events. The detail number of Ecat is FFS</w:t>
            </w:r>
          </w:p>
          <w:p w14:paraId="7ED864AA">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 xml:space="preserve">Option 2: </w:t>
            </w:r>
            <w:r>
              <w:rPr>
                <w:rFonts w:hint="default" w:ascii="Times New Roman" w:hAnsi="Times New Roman" w:eastAsia="宋体" w:cs="Times New Roman"/>
                <w:bCs/>
                <w:color w:val="000000" w:themeColor="text1"/>
                <w:sz w:val="20"/>
                <w:szCs w:val="20"/>
                <w:highlight w:val="none"/>
                <w14:textFill>
                  <w14:solidFill>
                    <w14:schemeClr w14:val="tx1"/>
                  </w14:solidFill>
                </w14:textFill>
              </w:rPr>
              <w:t>update the existing requirements to cover L1 event triggered reporting criteria per measurement category. (OPPO)</w:t>
            </w:r>
          </w:p>
          <w:p w14:paraId="39030B25">
            <w:pPr>
              <w:pStyle w:val="14"/>
              <w:numPr>
                <w:ilvl w:val="0"/>
                <w:numId w:val="4"/>
              </w:numPr>
              <w:spacing w:after="120"/>
              <w:ind w:firstLineChars="0"/>
              <w:rPr>
                <w:rFonts w:hint="default" w:ascii="Times New Roman" w:hAnsi="Times New Roman" w:cs="Times New Roman"/>
                <w:b/>
                <w:bCs/>
                <w:i/>
                <w:iCs/>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3: assuming new UE capabilities regarding support of event triggering needs to be introduced, RAN4 shall discuss whether it is still necessary to update/introduce new Event Triggering and Reporting Criteria for LTM. (Apple)</w:t>
            </w:r>
          </w:p>
        </w:tc>
      </w:tr>
    </w:tbl>
    <w:p w14:paraId="62E9C2A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461E0B0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However,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LS to RAN1 can be considered if necessary.</w:t>
      </w:r>
    </w:p>
    <w:p w14:paraId="2DEC9E9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it is agreed to define capability for supported number of events triggered L1 measurement reporting in RAN4, the related issue is how to define the capabilities for support of event triggering L1 measurement reporting, whether to update L3 capability or to define a seperate capability for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0D3D0E4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If it is agreed to define capability for supported number of events triggered L1 measurement reporting in RAN4,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17171AD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7E8FCFD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applicability of L1-RSRP reporting delay, it is proposed not to capture the assumptions (e.g. no indicate TCI change, no configuration change, etc) in the core requirements. As for whether to capture these assumptions in the tests, it can be further discuss.</w:t>
      </w:r>
    </w:p>
    <w:p w14:paraId="7B03974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If it is agreed to define capability for supported number of events triggered L1 measurement reporting in RAN4,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617A9D16">
      <w:pPr>
        <w:tabs>
          <w:tab w:val="left" w:pos="1134"/>
        </w:tabs>
        <w:spacing w:after="180" w:line="240" w:lineRule="exact"/>
        <w:rPr>
          <w:rFonts w:hint="eastAsia" w:ascii="Times New Roman" w:hAnsi="Times New Roman"/>
          <w:sz w:val="20"/>
          <w:szCs w:val="20"/>
          <w:highlight w:val="none"/>
        </w:rPr>
      </w:pPr>
      <w:bookmarkStart w:id="8" w:name="_GoBack"/>
      <w:bookmarkEnd w:id="8"/>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6DB5E693">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162311B2">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R4-2504965</w:t>
      </w:r>
      <w:r>
        <w:rPr>
          <w:rFonts w:hint="eastAsia" w:ascii="Times" w:hAnsi="Times" w:eastAsia="宋体"/>
          <w:b w:val="0"/>
          <w:sz w:val="20"/>
          <w:lang w:val="en-US" w:eastAsia="zh-CN"/>
        </w:rPr>
        <w:t>, WF on RRM requirements for NR_Mob_Ph4_Part1, Apple</w:t>
      </w:r>
    </w:p>
    <w:p w14:paraId="53BBFF74">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73D8EA6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8B8"/>
    <w:rsid w:val="024F1D10"/>
    <w:rsid w:val="03C54999"/>
    <w:rsid w:val="061B2869"/>
    <w:rsid w:val="06DB0A8F"/>
    <w:rsid w:val="07195F0C"/>
    <w:rsid w:val="0A4B3E6F"/>
    <w:rsid w:val="0C811890"/>
    <w:rsid w:val="0DE65980"/>
    <w:rsid w:val="0DED4141"/>
    <w:rsid w:val="1097653D"/>
    <w:rsid w:val="114C53CF"/>
    <w:rsid w:val="12BE134B"/>
    <w:rsid w:val="17CF1E32"/>
    <w:rsid w:val="1A610400"/>
    <w:rsid w:val="1B55319F"/>
    <w:rsid w:val="1D245D5D"/>
    <w:rsid w:val="20716758"/>
    <w:rsid w:val="21FF66F1"/>
    <w:rsid w:val="227609CD"/>
    <w:rsid w:val="22EF5A05"/>
    <w:rsid w:val="23555288"/>
    <w:rsid w:val="23A45F21"/>
    <w:rsid w:val="2B6A5B72"/>
    <w:rsid w:val="2C5A7F66"/>
    <w:rsid w:val="30C469A5"/>
    <w:rsid w:val="330A1608"/>
    <w:rsid w:val="3A094EC7"/>
    <w:rsid w:val="3B78668C"/>
    <w:rsid w:val="3C8464D4"/>
    <w:rsid w:val="3DE6740A"/>
    <w:rsid w:val="409969B6"/>
    <w:rsid w:val="43D42973"/>
    <w:rsid w:val="44192E3A"/>
    <w:rsid w:val="443F297C"/>
    <w:rsid w:val="4585185F"/>
    <w:rsid w:val="45905890"/>
    <w:rsid w:val="473507D2"/>
    <w:rsid w:val="4ACD5D3A"/>
    <w:rsid w:val="4D34553A"/>
    <w:rsid w:val="4D9D16E6"/>
    <w:rsid w:val="528174BF"/>
    <w:rsid w:val="54975669"/>
    <w:rsid w:val="54C2149E"/>
    <w:rsid w:val="56551307"/>
    <w:rsid w:val="5681017A"/>
    <w:rsid w:val="56BE73D2"/>
    <w:rsid w:val="5A6C76F1"/>
    <w:rsid w:val="5A84202D"/>
    <w:rsid w:val="5D2F6C90"/>
    <w:rsid w:val="5DD75D7F"/>
    <w:rsid w:val="618D4782"/>
    <w:rsid w:val="62B40F62"/>
    <w:rsid w:val="63A65A71"/>
    <w:rsid w:val="63D11CD0"/>
    <w:rsid w:val="63FF12A3"/>
    <w:rsid w:val="6514284A"/>
    <w:rsid w:val="66B81714"/>
    <w:rsid w:val="67360C57"/>
    <w:rsid w:val="6DE36C58"/>
    <w:rsid w:val="6F8A1747"/>
    <w:rsid w:val="708A15C7"/>
    <w:rsid w:val="72901CD2"/>
    <w:rsid w:val="735F40D6"/>
    <w:rsid w:val="7523162A"/>
    <w:rsid w:val="78F4247E"/>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CMCC-RAN4#116</cp:lastModifiedBy>
  <dcterms:modified xsi:type="dcterms:W3CDTF">2025-08-15T07:00:36Z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